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附件3：</w:t>
      </w:r>
    </w:p>
    <w:p>
      <w:pPr>
        <w:jc w:val="left"/>
        <w:rPr>
          <w:rFonts w:ascii="黑体" w:eastAsia="黑体"/>
          <w:sz w:val="32"/>
        </w:rPr>
      </w:pPr>
    </w:p>
    <w:p>
      <w:pPr>
        <w:spacing w:before="312" w:beforeLines="100"/>
        <w:jc w:val="center"/>
        <w:rPr>
          <w:rFonts w:ascii="黑体" w:eastAsia="黑体"/>
          <w:sz w:val="60"/>
          <w:szCs w:val="60"/>
        </w:rPr>
      </w:pPr>
      <w:r>
        <w:rPr>
          <w:rFonts w:hint="eastAsia" w:ascii="黑体" w:eastAsia="黑体"/>
          <w:sz w:val="60"/>
          <w:szCs w:val="60"/>
        </w:rPr>
        <w:t xml:space="preserve">湖北工业大学 </w:t>
      </w:r>
    </w:p>
    <w:p>
      <w:pPr>
        <w:spacing w:before="312" w:beforeLines="100"/>
        <w:jc w:val="center"/>
        <w:rPr>
          <w:rFonts w:ascii="黑体" w:eastAsia="黑体"/>
          <w:sz w:val="60"/>
          <w:szCs w:val="60"/>
        </w:rPr>
      </w:pPr>
      <w:r>
        <w:rPr>
          <w:rFonts w:hint="eastAsia" w:ascii="黑体" w:eastAsia="黑体"/>
          <w:sz w:val="60"/>
          <w:szCs w:val="60"/>
        </w:rPr>
        <w:t>“微专业”课程教学大纲</w:t>
      </w:r>
    </w:p>
    <w:p>
      <w:pPr>
        <w:jc w:val="center"/>
        <w:rPr>
          <w:rFonts w:ascii="宋体"/>
          <w:sz w:val="28"/>
          <w:szCs w:val="28"/>
        </w:r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44"/>
          <w:szCs w:val="44"/>
        </w:rPr>
        <w:t xml:space="preserve">  20</w:t>
      </w:r>
      <w:r>
        <w:rPr>
          <w:rFonts w:hint="eastAsia" w:ascii="黑体" w:hAnsi="黑体" w:eastAsia="黑体"/>
          <w:sz w:val="44"/>
          <w:szCs w:val="44"/>
        </w:rPr>
        <w:t>19</w:t>
      </w:r>
      <w:r>
        <w:rPr>
          <w:rFonts w:ascii="黑体" w:hAnsi="黑体" w:eastAsia="黑体"/>
          <w:sz w:val="44"/>
          <w:szCs w:val="44"/>
        </w:rPr>
        <w:t>/20</w:t>
      </w:r>
      <w:r>
        <w:rPr>
          <w:rFonts w:hint="eastAsia" w:ascii="黑体" w:hAnsi="黑体" w:eastAsia="黑体"/>
          <w:sz w:val="44"/>
          <w:szCs w:val="44"/>
        </w:rPr>
        <w:t>20学年</w:t>
      </w:r>
      <w:r>
        <w:rPr>
          <w:rFonts w:ascii="黑体" w:hAnsi="黑体" w:eastAsia="黑体"/>
          <w:sz w:val="44"/>
          <w:szCs w:val="44"/>
        </w:rPr>
        <w:t xml:space="preserve">    </w:t>
      </w:r>
      <w:r>
        <w:rPr>
          <w:rFonts w:hint="eastAsia" w:ascii="黑体" w:hAnsi="黑体" w:eastAsia="黑体"/>
          <w:sz w:val="44"/>
          <w:szCs w:val="44"/>
        </w:rPr>
        <w:t>第2学期</w:t>
      </w:r>
    </w:p>
    <w:p>
      <w:pPr>
        <w:pStyle w:val="3"/>
        <w:jc w:val="center"/>
      </w:pPr>
    </w:p>
    <w:p>
      <w:pPr>
        <w:pStyle w:val="3"/>
        <w:jc w:val="center"/>
      </w:pPr>
    </w:p>
    <w:p>
      <w:pPr>
        <w:pStyle w:val="3"/>
        <w:tabs>
          <w:tab w:val="left" w:pos="6859"/>
        </w:tabs>
        <w:jc w:val="left"/>
      </w:pPr>
      <w:r>
        <w:tab/>
      </w:r>
    </w:p>
    <w:p>
      <w:pPr>
        <w:pStyle w:val="3"/>
        <w:jc w:val="left"/>
      </w:pPr>
    </w:p>
    <w:p>
      <w:pPr>
        <w:pStyle w:val="3"/>
        <w:jc w:val="left"/>
      </w:pPr>
    </w:p>
    <w:p>
      <w:pPr>
        <w:pStyle w:val="3"/>
        <w:ind w:firstLine="840" w:firstLineChars="300"/>
        <w:jc w:val="left"/>
        <w:rPr>
          <w:u w:val="single"/>
        </w:rPr>
      </w:pPr>
      <w:r>
        <w:rPr>
          <w:rFonts w:hint="eastAsia"/>
        </w:rPr>
        <w:t>“微专业”名称：</w:t>
      </w:r>
      <w:r>
        <w:rPr>
          <w:u w:val="single"/>
        </w:rPr>
        <w:t xml:space="preserve">    </w:t>
      </w:r>
      <w:r>
        <w:rPr>
          <w:rFonts w:hint="eastAsia"/>
          <w:u w:val="single"/>
          <w:lang w:eastAsia="zh-CN"/>
        </w:rPr>
        <w:t>智能</w:t>
      </w:r>
      <w:r>
        <w:rPr>
          <w:rFonts w:hint="eastAsia"/>
          <w:u w:val="single"/>
        </w:rPr>
        <w:t xml:space="preserve">文创产品设计  </w:t>
      </w:r>
      <w:r>
        <w:rPr>
          <w:u w:val="single"/>
        </w:rPr>
        <w:t xml:space="preserve">      </w:t>
      </w:r>
    </w:p>
    <w:p>
      <w:pPr>
        <w:pStyle w:val="3"/>
        <w:ind w:firstLine="1120" w:firstLineChars="400"/>
        <w:jc w:val="left"/>
        <w:rPr>
          <w:u w:val="single"/>
        </w:rPr>
      </w:pPr>
      <w:r>
        <w:rPr>
          <w:rFonts w:hint="eastAsia"/>
        </w:rPr>
        <w:t>课程名称：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材料与工艺</w:t>
      </w:r>
      <w:r>
        <w:rPr>
          <w:u w:val="single"/>
        </w:rPr>
        <w:t xml:space="preserve">           </w:t>
      </w:r>
    </w:p>
    <w:p>
      <w:pPr>
        <w:pStyle w:val="3"/>
        <w:ind w:firstLine="1120" w:firstLineChars="400"/>
        <w:jc w:val="left"/>
        <w:rPr>
          <w:u w:val="single"/>
        </w:rPr>
      </w:pPr>
      <w:r>
        <w:rPr>
          <w:rFonts w:hint="eastAsia"/>
        </w:rPr>
        <w:t>大纲编写者：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王军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    </w:t>
      </w:r>
    </w:p>
    <w:p>
      <w:pPr>
        <w:pStyle w:val="3"/>
        <w:ind w:firstLine="1120" w:firstLineChars="400"/>
        <w:jc w:val="left"/>
        <w:rPr>
          <w:u w:val="single"/>
        </w:rPr>
      </w:pPr>
      <w:r>
        <w:rPr>
          <w:rFonts w:hint="eastAsia"/>
        </w:rPr>
        <w:t>大纲审核人：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李敏</w:t>
      </w:r>
      <w:r>
        <w:rPr>
          <w:u w:val="single"/>
        </w:rPr>
        <w:t xml:space="preserve">               </w:t>
      </w:r>
    </w:p>
    <w:p>
      <w:pPr>
        <w:pStyle w:val="3"/>
        <w:jc w:val="center"/>
        <w:rPr>
          <w:rFonts w:hAnsi="黑体"/>
          <w:sz w:val="24"/>
        </w:rPr>
      </w:pPr>
    </w:p>
    <w:p>
      <w:pPr>
        <w:pStyle w:val="3"/>
        <w:jc w:val="center"/>
        <w:rPr>
          <w:rFonts w:hAnsi="黑体"/>
          <w:sz w:val="24"/>
        </w:rPr>
      </w:pPr>
    </w:p>
    <w:p>
      <w:pPr>
        <w:pStyle w:val="3"/>
        <w:jc w:val="center"/>
        <w:rPr>
          <w:rFonts w:hAnsi="黑体"/>
          <w:sz w:val="24"/>
        </w:rPr>
      </w:pPr>
    </w:p>
    <w:p>
      <w:pPr>
        <w:ind w:firstLine="3534" w:firstLineChars="1100"/>
        <w:rPr>
          <w:rFonts w:ascii="宋体"/>
          <w:b/>
          <w:color w:val="000000"/>
          <w:sz w:val="32"/>
        </w:rPr>
      </w:pPr>
      <w:r>
        <w:rPr>
          <w:rFonts w:hint="eastAsia" w:ascii="宋体"/>
          <w:b/>
          <w:color w:val="000000"/>
          <w:sz w:val="32"/>
        </w:rPr>
        <w:t xml:space="preserve"> </w:t>
      </w:r>
    </w:p>
    <w:p>
      <w:pPr>
        <w:ind w:firstLine="3654" w:firstLineChars="1300"/>
        <w:rPr>
          <w:rFonts w:ascii="宋体" w:hAnsi="宋体"/>
          <w:b/>
          <w:color w:val="000000"/>
          <w:sz w:val="28"/>
          <w:szCs w:val="28"/>
        </w:rPr>
      </w:pPr>
    </w:p>
    <w:p>
      <w:pPr>
        <w:ind w:firstLine="3654" w:firstLineChars="1300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教务处</w:t>
      </w:r>
      <w:r>
        <w:rPr>
          <w:rFonts w:ascii="宋体" w:hAnsi="宋体"/>
          <w:b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>制</w:t>
      </w:r>
    </w:p>
    <w:p>
      <w:pPr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2020年 3 月</w:t>
      </w:r>
    </w:p>
    <w:p>
      <w:pPr>
        <w:jc w:val="left"/>
        <w:rPr>
          <w:sz w:val="28"/>
        </w:rPr>
      </w:pPr>
      <w:r>
        <w:rPr>
          <w:rFonts w:hint="eastAsia" w:ascii="黑体" w:eastAsia="黑体"/>
          <w:sz w:val="30"/>
        </w:rPr>
        <w:t>一、课程概述</w:t>
      </w:r>
    </w:p>
    <w:p>
      <w:pPr>
        <w:spacing w:line="440" w:lineRule="exact"/>
        <w:ind w:firstLine="560" w:firstLineChars="200"/>
        <w:rPr>
          <w:rFonts w:ascii="宋体" w:hAnsi="宋体"/>
          <w:sz w:val="24"/>
        </w:rPr>
      </w:pPr>
      <w:r>
        <w:rPr>
          <w:rFonts w:ascii="黑体" w:hAnsi="宋体" w:eastAsia="黑体"/>
          <w:sz w:val="28"/>
        </w:rPr>
        <w:t>1.</w:t>
      </w:r>
      <w:r>
        <w:rPr>
          <w:rFonts w:hint="eastAsia" w:ascii="黑体" w:hAnsi="宋体" w:eastAsia="黑体"/>
          <w:sz w:val="28"/>
        </w:rPr>
        <w:t>课程教学目标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4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sz w:val="24"/>
        </w:rPr>
        <w:t>课程性质：</w:t>
      </w:r>
      <w:r>
        <w:rPr>
          <w:rFonts w:hint="eastAsia"/>
          <w:sz w:val="24"/>
        </w:rPr>
        <w:t>本课程</w:t>
      </w:r>
      <w:r>
        <w:rPr>
          <w:sz w:val="24"/>
        </w:rPr>
        <w:t>是</w:t>
      </w:r>
      <w:r>
        <w:rPr>
          <w:rFonts w:hint="eastAsia"/>
          <w:sz w:val="24"/>
        </w:rPr>
        <w:t>文创产品设计专业实践课程</w:t>
      </w:r>
      <w:r>
        <w:rPr>
          <w:sz w:val="24"/>
        </w:rPr>
        <w:t>。本课程主要旨在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培养学生对金属、木材、塑料、陶瓷、玻璃等材料的认识与应用能力，并根据设计要求正确地选择材料与合理的加工工艺在设计中的表达，通过实验实训最终达到掌握设计产品的实现能力。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教学目标：</w:t>
      </w:r>
    </w:p>
    <w:p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了解木材、金属、塑料、陶瓷、玻璃等材料的特性。</w:t>
      </w:r>
    </w:p>
    <w:p>
      <w:pPr>
        <w:adjustRightInd w:val="0"/>
        <w:snapToGrid w:val="0"/>
        <w:spacing w:line="360" w:lineRule="auto"/>
        <w:ind w:left="480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熟练运用所学材料的加工成型方法，完成对木材、金属、塑料、陶瓷、玻璃等材料的加工实践。</w:t>
      </w:r>
    </w:p>
    <w:p>
      <w:pPr>
        <w:adjustRightInd w:val="0"/>
        <w:snapToGrid w:val="0"/>
        <w:spacing w:line="360" w:lineRule="auto"/>
        <w:ind w:left="480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能够使用所学材料，完成模型的加工制作工作。</w:t>
      </w:r>
    </w:p>
    <w:p>
      <w:pPr>
        <w:adjustRightInd w:val="0"/>
        <w:snapToGrid w:val="0"/>
        <w:spacing w:line="360" w:lineRule="auto"/>
        <w:outlineLvl w:val="0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在使用设备加工材料的过程中要能熟练运用之前所学知识，具备举一反三的自学能力。</w:t>
      </w:r>
    </w:p>
    <w:p>
      <w:pPr>
        <w:adjustRightInd w:val="0"/>
        <w:snapToGrid w:val="0"/>
        <w:spacing w:line="360" w:lineRule="auto"/>
        <w:outlineLvl w:val="0"/>
        <w:rPr>
          <w:b/>
          <w:sz w:val="24"/>
        </w:rPr>
      </w:pPr>
      <w:r>
        <w:rPr>
          <w:rFonts w:hint="eastAsia"/>
          <w:b/>
          <w:sz w:val="24"/>
        </w:rPr>
        <w:t>二、课程目标与毕业要求关系</w:t>
      </w:r>
    </w:p>
    <w:p>
      <w:pPr>
        <w:spacing w:line="440" w:lineRule="exact"/>
        <w:ind w:firstLine="560" w:firstLineChars="200"/>
        <w:rPr>
          <w:rFonts w:ascii="宋体" w:hAnsi="宋体"/>
          <w:sz w:val="24"/>
        </w:rPr>
      </w:pPr>
      <w:r>
        <w:rPr>
          <w:rFonts w:ascii="黑体" w:hAnsi="宋体" w:eastAsia="黑体"/>
          <w:sz w:val="28"/>
        </w:rPr>
        <w:t>3.</w:t>
      </w:r>
      <w:r>
        <w:rPr>
          <w:rFonts w:hint="eastAsia" w:ascii="黑体" w:hAnsi="宋体" w:eastAsia="黑体"/>
          <w:sz w:val="28"/>
        </w:rPr>
        <w:t>课程授课对象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/>
          <w:sz w:val="24"/>
        </w:rPr>
        <w:t>爱好文化与设计的相关专业学生,大学2,3年级学生。</w:t>
      </w:r>
    </w:p>
    <w:p>
      <w:pPr>
        <w:spacing w:line="440" w:lineRule="exact"/>
        <w:ind w:firstLine="560" w:firstLineChars="200"/>
        <w:rPr>
          <w:rFonts w:ascii="宋体" w:hAnsi="宋体"/>
          <w:sz w:val="28"/>
        </w:rPr>
      </w:pPr>
      <w:r>
        <w:rPr>
          <w:rFonts w:ascii="黑体" w:hAnsi="宋体" w:eastAsia="黑体"/>
          <w:sz w:val="28"/>
        </w:rPr>
        <w:t>4.</w:t>
      </w:r>
      <w:r>
        <w:rPr>
          <w:rFonts w:hint="eastAsia" w:ascii="黑体" w:hAnsi="宋体" w:eastAsia="黑体"/>
          <w:sz w:val="28"/>
        </w:rPr>
        <w:t>课程总学时要求</w:t>
      </w:r>
      <w:r>
        <w:rPr>
          <w:rFonts w:ascii="黑体" w:hAnsi="宋体" w:eastAsia="黑体"/>
          <w:sz w:val="28"/>
        </w:rPr>
        <w:t>:</w:t>
      </w:r>
      <w:r>
        <w:rPr>
          <w:rFonts w:hint="eastAsia" w:ascii="宋体" w:hAnsi="宋体"/>
          <w:sz w:val="28"/>
        </w:rPr>
        <w:t xml:space="preserve"> </w:t>
      </w:r>
      <w:r>
        <w:rPr>
          <w:sz w:val="24"/>
        </w:rPr>
        <w:t>总 学 时：4</w:t>
      </w:r>
      <w:r>
        <w:rPr>
          <w:rFonts w:hint="eastAsia"/>
          <w:sz w:val="24"/>
        </w:rPr>
        <w:t>8</w:t>
      </w:r>
      <w:r>
        <w:rPr>
          <w:sz w:val="24"/>
        </w:rPr>
        <w:t>学时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eastAsia="zh-CN"/>
        </w:rPr>
        <w:t>计划</w:t>
      </w:r>
      <w:r>
        <w:rPr>
          <w:rFonts w:hint="eastAsia"/>
          <w:sz w:val="24"/>
          <w:lang w:val="en-US" w:eastAsia="zh-CN"/>
        </w:rPr>
        <w:t>2月</w:t>
      </w:r>
      <w:r>
        <w:rPr>
          <w:rFonts w:hint="eastAsia"/>
          <w:sz w:val="24"/>
        </w:rPr>
        <w:t>内完成。</w:t>
      </w:r>
      <w:r>
        <w:rPr>
          <w:sz w:val="24"/>
        </w:rPr>
        <w:t>（理论24学时，实验24学时）</w:t>
      </w:r>
    </w:p>
    <w:p>
      <w:pPr>
        <w:spacing w:line="440" w:lineRule="exact"/>
        <w:ind w:firstLine="560" w:firstLineChars="200"/>
        <w:rPr>
          <w:rFonts w:ascii="宋体" w:hAnsi="宋体"/>
          <w:sz w:val="24"/>
        </w:rPr>
      </w:pPr>
      <w:r>
        <w:rPr>
          <w:rFonts w:ascii="黑体" w:hAnsi="宋体" w:eastAsia="黑体"/>
          <w:sz w:val="28"/>
        </w:rPr>
        <w:t>5.</w:t>
      </w:r>
      <w:r>
        <w:rPr>
          <w:rFonts w:hint="eastAsia" w:ascii="黑体" w:hAnsi="宋体" w:eastAsia="黑体"/>
          <w:sz w:val="28"/>
        </w:rPr>
        <w:t>本课程与其他课程的联系与分工</w:t>
      </w:r>
      <w:r>
        <w:rPr>
          <w:rFonts w:ascii="宋体" w:hAnsi="宋体"/>
          <w:sz w:val="28"/>
        </w:rPr>
        <w:t>:</w:t>
      </w:r>
      <w:r>
        <w:rPr>
          <w:rFonts w:hint="eastAsia" w:ascii="宋体" w:hAnsi="宋体"/>
          <w:sz w:val="24"/>
        </w:rPr>
        <w:t xml:space="preserve"> </w:t>
      </w:r>
      <w:r>
        <w:rPr>
          <w:sz w:val="24"/>
        </w:rPr>
        <w:t>先修课程：</w:t>
      </w:r>
      <w:r>
        <w:rPr>
          <w:rFonts w:hint="eastAsia"/>
          <w:sz w:val="24"/>
        </w:rPr>
        <w:t>设计表达(培养设计表达能力)、形态构建（培养形态构成能力）、创意思维（培养设计创意能力），本课程培养学生材料</w:t>
      </w:r>
      <w:r>
        <w:rPr>
          <w:rFonts w:hint="eastAsia"/>
          <w:sz w:val="24"/>
          <w:lang w:eastAsia="zh-CN"/>
        </w:rPr>
        <w:t>与工艺的制作</w:t>
      </w:r>
      <w:r>
        <w:rPr>
          <w:rFonts w:hint="eastAsia"/>
          <w:sz w:val="24"/>
        </w:rPr>
        <w:t>能力，合理运用于后续的</w:t>
      </w:r>
      <w:r>
        <w:rPr>
          <w:rFonts w:hint="eastAsia"/>
          <w:sz w:val="24"/>
          <w:lang w:eastAsia="zh-CN"/>
        </w:rPr>
        <w:t>时尚设计课程以及文化与产品创新</w:t>
      </w:r>
      <w:r>
        <w:rPr>
          <w:rFonts w:hint="eastAsia"/>
          <w:sz w:val="24"/>
        </w:rPr>
        <w:t>设计</w:t>
      </w:r>
      <w:r>
        <w:rPr>
          <w:rFonts w:hint="eastAsia"/>
          <w:sz w:val="24"/>
          <w:lang w:eastAsia="zh-CN"/>
        </w:rPr>
        <w:t>课程</w:t>
      </w:r>
      <w:r>
        <w:rPr>
          <w:rFonts w:hint="eastAsia"/>
          <w:sz w:val="24"/>
        </w:rPr>
        <w:t>。</w:t>
      </w:r>
    </w:p>
    <w:p>
      <w:pPr>
        <w:widowControl/>
        <w:jc w:val="left"/>
        <w:rPr>
          <w:rFonts w:hint="eastAsia" w:ascii="黑体" w:hAnsi="宋体" w:eastAsia="黑体"/>
          <w:sz w:val="30"/>
          <w:lang w:eastAsia="zh-CN"/>
        </w:rPr>
      </w:pPr>
      <w:r>
        <w:rPr>
          <w:rFonts w:hint="eastAsia" w:ascii="黑体" w:hAnsi="宋体" w:eastAsia="黑体"/>
          <w:sz w:val="30"/>
          <w:lang w:eastAsia="zh-CN"/>
        </w:rPr>
        <w:drawing>
          <wp:inline distT="0" distB="0" distL="114300" distR="114300">
            <wp:extent cx="4860925" cy="2539365"/>
            <wp:effectExtent l="0" t="0" r="15875" b="0"/>
            <wp:docPr id="1" name="图片 1" descr="插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插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0925" cy="253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p>
      <w:pPr>
        <w:spacing w:line="440" w:lineRule="exact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二、课程内容</w:t>
      </w:r>
    </w:p>
    <w:p>
      <w:pPr>
        <w:pStyle w:val="7"/>
        <w:spacing w:line="440" w:lineRule="exact"/>
        <w:ind w:firstLine="560" w:firstLineChars="200"/>
      </w:pPr>
      <w:r>
        <w:rPr>
          <w:rFonts w:ascii="黑体" w:hAnsi="宋体" w:eastAsia="黑体"/>
          <w:sz w:val="28"/>
        </w:rPr>
        <w:t>1.</w:t>
      </w:r>
      <w:r>
        <w:rPr>
          <w:rFonts w:hint="eastAsia" w:ascii="黑体" w:eastAsia="黑体"/>
          <w:sz w:val="28"/>
        </w:rPr>
        <w:t>课程内容</w:t>
      </w:r>
      <w:r>
        <w:rPr>
          <w:rFonts w:hint="eastAsia"/>
          <w:sz w:val="28"/>
        </w:rPr>
        <w:t>：</w:t>
      </w:r>
      <w:r>
        <w:rPr>
          <w:rFonts w:hint="eastAsia"/>
        </w:rPr>
        <w:t>课程教学采用线上教学与线下教学相结合的方式。</w:t>
      </w:r>
    </w:p>
    <w:p>
      <w:pPr>
        <w:adjustRightInd w:val="0"/>
        <w:snapToGrid w:val="0"/>
        <w:spacing w:line="300" w:lineRule="auto"/>
        <w:ind w:firstLine="360" w:firstLineChars="15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．1</w:t>
      </w:r>
      <w:r>
        <w:rPr>
          <w:sz w:val="24"/>
        </w:rPr>
        <w:t>理论教学安排</w:t>
      </w:r>
    </w:p>
    <w:p>
      <w:pPr>
        <w:adjustRightInd w:val="0"/>
        <w:snapToGrid w:val="0"/>
        <w:spacing w:line="300" w:lineRule="auto"/>
        <w:ind w:firstLine="360" w:firstLineChars="150"/>
        <w:rPr>
          <w:sz w:val="24"/>
        </w:rPr>
      </w:pPr>
    </w:p>
    <w:tbl>
      <w:tblPr>
        <w:tblStyle w:val="10"/>
        <w:tblW w:w="8522" w:type="dxa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738"/>
        <w:gridCol w:w="2681"/>
        <w:gridCol w:w="1276"/>
        <w:gridCol w:w="1276"/>
        <w:gridCol w:w="850"/>
        <w:gridCol w:w="709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73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ind w:left="-155" w:leftChars="-74" w:right="-107" w:rightChars="-51"/>
              <w:jc w:val="center"/>
              <w:rPr>
                <w:sz w:val="24"/>
              </w:rPr>
            </w:pPr>
            <w:r>
              <w:rPr>
                <w:sz w:val="24"/>
              </w:rPr>
              <w:t>章节或</w:t>
            </w:r>
          </w:p>
          <w:p>
            <w:pPr>
              <w:adjustRightInd w:val="0"/>
              <w:snapToGrid w:val="0"/>
              <w:spacing w:line="300" w:lineRule="auto"/>
              <w:ind w:left="-155" w:leftChars="-74" w:right="-107" w:rightChars="-51"/>
              <w:jc w:val="center"/>
              <w:rPr>
                <w:sz w:val="24"/>
              </w:rPr>
            </w:pPr>
            <w:r>
              <w:rPr>
                <w:sz w:val="24"/>
              </w:rPr>
              <w:t>知识模块</w:t>
            </w:r>
          </w:p>
        </w:tc>
        <w:tc>
          <w:tcPr>
            <w:tcW w:w="2681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组织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能力培养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教学要求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学生任务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2681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作业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要求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自学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要求</w:t>
            </w:r>
          </w:p>
        </w:tc>
        <w:tc>
          <w:tcPr>
            <w:tcW w:w="567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</w:p>
        </w:tc>
        <w:tc>
          <w:tcPr>
            <w:tcW w:w="73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概论</w:t>
            </w:r>
          </w:p>
        </w:tc>
        <w:tc>
          <w:tcPr>
            <w:tcW w:w="2681" w:type="dxa"/>
            <w:vAlign w:val="center"/>
          </w:tcPr>
          <w:p>
            <w:pPr>
              <w:tabs>
                <w:tab w:val="center" w:pos="213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讲述材料的发展及分类以及木材、金属、塑料、陶瓷、玻璃等材料的性能与应用。</w:t>
            </w:r>
          </w:p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以</w:t>
            </w:r>
            <w:r>
              <w:rPr>
                <w:rFonts w:hint="eastAsia"/>
                <w:szCs w:val="21"/>
              </w:rPr>
              <w:t>多媒体</w:t>
            </w:r>
            <w:r>
              <w:rPr>
                <w:szCs w:val="21"/>
              </w:rPr>
              <w:t>资料介绍本课程的应用领域、发展现状和发展趋势。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培养学生</w:t>
            </w:r>
            <w:r>
              <w:rPr>
                <w:rFonts w:hint="eastAsia"/>
                <w:szCs w:val="21"/>
              </w:rPr>
              <w:t>对材料应用重要性的理解,以及各材料的工艺特性</w:t>
            </w:r>
            <w:r>
              <w:rPr>
                <w:szCs w:val="21"/>
              </w:rPr>
              <w:t>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  <w:r>
              <w:rPr>
                <w:rFonts w:hint="eastAsia"/>
                <w:szCs w:val="21"/>
              </w:rPr>
              <w:t>针对讲述的五种材料，每人收集不同类材料碎片10种以上</w:t>
            </w:r>
            <w:r>
              <w:rPr>
                <w:szCs w:val="21"/>
              </w:rPr>
              <w:t>。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  <w:r>
              <w:rPr>
                <w:szCs w:val="21"/>
              </w:rPr>
              <w:t>课前预习。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作业讨论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重点：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材料的发展与应用领域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难点：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材料的各项性能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</w:p>
        </w:tc>
        <w:tc>
          <w:tcPr>
            <w:tcW w:w="738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材料的认知与实践</w:t>
            </w:r>
          </w:p>
        </w:tc>
        <w:tc>
          <w:tcPr>
            <w:tcW w:w="2681" w:type="dxa"/>
            <w:vAlign w:val="center"/>
          </w:tcPr>
          <w:p>
            <w:pPr>
              <w:ind w:left="475" w:hanging="474" w:hangingChars="22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对各种常用材料特性的认知。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通过加工成规定尺寸，对材料实物有一个直观了解。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培养学生对</w:t>
            </w:r>
            <w:r>
              <w:rPr>
                <w:rFonts w:hint="eastAsia"/>
                <w:szCs w:val="21"/>
              </w:rPr>
              <w:t>常用设计材料的认知，并深入了解其特性及其运用方法。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根据收集的材料碎片，挑选制作材料样本三种，包括块材、面材、线材各一种形式，尺寸包含及控制在5cm*5cm*2cm以内。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  <w:r>
              <w:rPr>
                <w:rFonts w:hint="eastAsia"/>
                <w:szCs w:val="21"/>
              </w:rPr>
              <w:t>网上慕课学习</w:t>
            </w:r>
            <w:r>
              <w:rPr>
                <w:szCs w:val="21"/>
              </w:rPr>
              <w:t>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网上</w:t>
            </w:r>
            <w:r>
              <w:rPr>
                <w:szCs w:val="21"/>
              </w:rPr>
              <w:t>进行讨论。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ˎ̥" w:hAnsi="ˎ̥" w:cs="宋体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重点：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材料的辨识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ˎ̥" w:hAnsi="ˎ̥" w:cs="宋体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难点：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通过认知达到可以运用到设计的能力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</w:p>
        </w:tc>
        <w:tc>
          <w:tcPr>
            <w:tcW w:w="73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材料加工工艺</w:t>
            </w:r>
          </w:p>
        </w:tc>
        <w:tc>
          <w:tcPr>
            <w:tcW w:w="2681" w:type="dxa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szCs w:val="21"/>
              </w:rPr>
              <w:t>3.1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木材的成型工艺</w:t>
            </w:r>
          </w:p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szCs w:val="21"/>
              </w:rPr>
              <w:t>3.2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木材的连接工艺</w:t>
            </w:r>
          </w:p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木材的表面处理</w:t>
            </w:r>
          </w:p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对木材的成型，完成3种基础训练</w:t>
            </w:r>
            <w:r>
              <w:rPr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对木材的连接，完成3种基础训练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对木材的表面处理，完成3种基础训练。</w:t>
            </w:r>
          </w:p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培养学生</w:t>
            </w:r>
            <w:r>
              <w:rPr>
                <w:rFonts w:hint="eastAsia"/>
                <w:szCs w:val="21"/>
              </w:rPr>
              <w:t>木材成型的多种工艺实现</w:t>
            </w:r>
            <w:r>
              <w:rPr>
                <w:szCs w:val="21"/>
              </w:rPr>
              <w:t>过程</w:t>
            </w:r>
            <w:r>
              <w:rPr>
                <w:rFonts w:hint="eastAsia"/>
                <w:szCs w:val="21"/>
              </w:rPr>
              <w:t>和驾驭能力</w:t>
            </w:r>
            <w:r>
              <w:rPr>
                <w:szCs w:val="21"/>
              </w:rPr>
              <w:t>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  <w:r>
              <w:rPr>
                <w:rFonts w:hint="eastAsia"/>
                <w:szCs w:val="21"/>
              </w:rPr>
              <w:t>每人根据木质材料的成型工艺，分别制作材料样本三种，包括块材、面材、线材各一种，并把尺寸控制在9cm*9cm*2cm（局部可以大于2cm）。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  <w:r>
              <w:rPr>
                <w:szCs w:val="21"/>
              </w:rPr>
              <w:t>课前预习；</w:t>
            </w:r>
            <w:r>
              <w:rPr>
                <w:rFonts w:hint="eastAsia"/>
                <w:szCs w:val="21"/>
              </w:rPr>
              <w:t>网上慕课学习</w:t>
            </w:r>
            <w:r>
              <w:rPr>
                <w:szCs w:val="21"/>
              </w:rPr>
              <w:t>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练习讨论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8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重点：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材料的加工特性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难点：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合理运用材料特性选择正确加工方式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4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</w:p>
        </w:tc>
        <w:tc>
          <w:tcPr>
            <w:tcW w:w="738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</w:rPr>
              <w:t>新材料的开发与应用</w:t>
            </w:r>
          </w:p>
        </w:tc>
        <w:tc>
          <w:tcPr>
            <w:tcW w:w="268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新材料发展的趋势，对产品设计的影响和作用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对现有材料的特性、再开发以及运用在设计中。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使</w:t>
            </w:r>
            <w:r>
              <w:rPr>
                <w:szCs w:val="21"/>
              </w:rPr>
              <w:t>学生了解</w:t>
            </w:r>
            <w:r>
              <w:rPr>
                <w:rFonts w:hint="eastAsia"/>
                <w:szCs w:val="21"/>
              </w:rPr>
              <w:t>对现有材料进行合理设计处理从而让材料展现新的特性</w:t>
            </w:r>
            <w:r>
              <w:rPr>
                <w:szCs w:val="21"/>
              </w:rPr>
              <w:t>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eastAsia="黑体"/>
                <w:i/>
                <w:sz w:val="24"/>
              </w:rPr>
            </w:pPr>
            <w:r>
              <w:rPr>
                <w:szCs w:val="21"/>
              </w:rPr>
              <w:t>课前预习；</w:t>
            </w:r>
            <w:r>
              <w:rPr>
                <w:rFonts w:hint="eastAsia"/>
                <w:szCs w:val="21"/>
              </w:rPr>
              <w:t>网上慕课学习</w:t>
            </w:r>
            <w:r>
              <w:rPr>
                <w:szCs w:val="21"/>
              </w:rPr>
              <w:t>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eastAsia="黑体"/>
                <w:sz w:val="24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重点：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新材料</w:t>
            </w:r>
            <w:r>
              <w:rPr>
                <w:rFonts w:ascii="ˎ̥" w:hAnsi="ˎ̥" w:cs="宋体"/>
                <w:kern w:val="0"/>
                <w:sz w:val="18"/>
                <w:szCs w:val="18"/>
              </w:rPr>
              <w:t>在实际设计中的应用案例分析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4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81" w:type="dxa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hint="eastAsia" w:ascii="ˎ̥" w:hAnsi="ˎ̥" w:cs="宋体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kern w:val="0"/>
                <w:sz w:val="18"/>
                <w:szCs w:val="18"/>
              </w:rPr>
              <w:t>难点：</w:t>
            </w:r>
            <w:r>
              <w:rPr>
                <w:rFonts w:hint="eastAsia" w:ascii="ˎ̥" w:hAnsi="ˎ̥" w:cs="宋体"/>
                <w:kern w:val="0"/>
                <w:sz w:val="18"/>
                <w:szCs w:val="18"/>
              </w:rPr>
              <w:t>新材料的使用对产品的影响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</w:tbl>
    <w:p>
      <w:pPr>
        <w:adjustRightInd w:val="0"/>
        <w:snapToGrid w:val="0"/>
        <w:spacing w:line="30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>2．实践教学安排</w:t>
      </w:r>
      <w:r>
        <w:rPr>
          <w:rFonts w:hint="eastAsia" w:asciiTheme="minorEastAsia" w:hAnsiTheme="minorEastAsia" w:eastAsiaTheme="minorEastAsia"/>
          <w:sz w:val="18"/>
          <w:szCs w:val="18"/>
        </w:rPr>
        <w:t>(不含网络课程学习环节的章节小练习)</w:t>
      </w:r>
    </w:p>
    <w:tbl>
      <w:tblPr>
        <w:tblStyle w:val="10"/>
        <w:tblW w:w="8222" w:type="dxa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276"/>
        <w:gridCol w:w="567"/>
        <w:gridCol w:w="709"/>
        <w:gridCol w:w="1843"/>
        <w:gridCol w:w="1842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567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类型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每组人数</w:t>
            </w: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实验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任务</w:t>
            </w:r>
          </w:p>
        </w:tc>
        <w:tc>
          <w:tcPr>
            <w:tcW w:w="184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能力培养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教学要求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素质培养</w:t>
            </w:r>
          </w:p>
          <w:p>
            <w:pPr>
              <w:adjustRightInd w:val="0"/>
              <w:snapToGrid w:val="0"/>
              <w:spacing w:line="30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教学要求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2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木材的成型工艺</w:t>
            </w:r>
          </w:p>
        </w:tc>
        <w:tc>
          <w:tcPr>
            <w:tcW w:w="567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  <w:szCs w:val="21"/>
              </w:rPr>
              <w:t>每人根据木质材料的成型工艺，分别制作材料样本三种，包括块材、面材、线材各一种，并把尺寸控制在9cm*9cm*2cm（局部可以大于2cm）。</w:t>
            </w:r>
          </w:p>
        </w:tc>
        <w:tc>
          <w:tcPr>
            <w:tcW w:w="1842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  <w:szCs w:val="21"/>
              </w:rPr>
              <w:t>通过机器加工成规定尺寸，对木材成型过程的直观了解。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</w:pPr>
            <w:r>
              <w:t>培养学生严谨的科学态度和</w:t>
            </w:r>
            <w:r>
              <w:rPr>
                <w:rFonts w:hint="eastAsia"/>
              </w:rPr>
              <w:t>善于思考的能力以及耐心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2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木材的连接工艺</w:t>
            </w:r>
          </w:p>
        </w:tc>
        <w:tc>
          <w:tcPr>
            <w:tcW w:w="567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  <w:szCs w:val="21"/>
              </w:rPr>
              <w:t>每人根据木质材料的连接工艺，分别制作材料样本三种，包括块材、面材、线材各一种，并把尺寸控制在9cm*9cm*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cm。</w:t>
            </w:r>
          </w:p>
        </w:tc>
        <w:tc>
          <w:tcPr>
            <w:tcW w:w="1842" w:type="dxa"/>
            <w:vAlign w:val="center"/>
          </w:tcPr>
          <w:p>
            <w:pPr>
              <w:ind w:left="630" w:hanging="630" w:hangingChars="3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通过机器与手工加工，对各种木材连接方式的直观了解。</w:t>
            </w:r>
          </w:p>
          <w:p>
            <w:pPr>
              <w:adjustRightInd w:val="0"/>
              <w:snapToGrid w:val="0"/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</w:pPr>
            <w:r>
              <w:t>培养学生严谨的科学态度和</w:t>
            </w:r>
            <w:r>
              <w:rPr>
                <w:rFonts w:hint="eastAsia"/>
              </w:rPr>
              <w:t>善于思考的能力以及耐心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2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木材的表面处理</w:t>
            </w:r>
          </w:p>
          <w:p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</w:pPr>
            <w:r>
              <w:rPr>
                <w:rFonts w:hint="eastAsia"/>
                <w:szCs w:val="21"/>
              </w:rPr>
              <w:t>每人根据木质材料的表面处理工艺，分别制作材料样本三种，包括块材、面材、线材各一种，并把尺寸控制在9cm*9cm*2cm。</w:t>
            </w:r>
          </w:p>
        </w:tc>
        <w:tc>
          <w:tcPr>
            <w:tcW w:w="1842" w:type="dxa"/>
            <w:vAlign w:val="center"/>
          </w:tcPr>
          <w:p>
            <w:pPr>
              <w:ind w:left="630" w:hanging="630" w:hangingChars="3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通过机器与手工加工，对各种木材表面处理方式的直观了解。</w:t>
            </w:r>
          </w:p>
          <w:p>
            <w:pPr>
              <w:adjustRightInd w:val="0"/>
              <w:snapToGrid w:val="0"/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</w:pPr>
            <w:r>
              <w:t>培养学生严谨的科学态度和</w:t>
            </w:r>
            <w:r>
              <w:rPr>
                <w:rFonts w:hint="eastAsia"/>
              </w:rPr>
              <w:t>善于思考的能力以及耐心</w:t>
            </w:r>
            <w:r>
              <w:t>。</w:t>
            </w:r>
          </w:p>
        </w:tc>
      </w:tr>
    </w:tbl>
    <w:p>
      <w:pPr>
        <w:pStyle w:val="7"/>
        <w:spacing w:line="440" w:lineRule="exact"/>
        <w:ind w:firstLine="480" w:firstLineChars="200"/>
      </w:pPr>
    </w:p>
    <w:p>
      <w:pPr>
        <w:spacing w:after="156" w:afterLines="50" w:line="440" w:lineRule="exact"/>
        <w:ind w:firstLine="560" w:firstLineChars="20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2.</w:t>
      </w:r>
      <w:r>
        <w:rPr>
          <w:rFonts w:hint="eastAsia" w:ascii="黑体" w:eastAsia="黑体"/>
          <w:sz w:val="28"/>
        </w:rPr>
        <w:t>课程教学内容及学时分配表</w:t>
      </w:r>
    </w:p>
    <w:tbl>
      <w:tblPr>
        <w:tblStyle w:val="10"/>
        <w:tblW w:w="85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  <w:gridCol w:w="851"/>
        <w:gridCol w:w="851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50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课程内容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0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概论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在线学习+辅导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0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材料的认知与实践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在线学习+辅导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0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材料加工工艺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在线学习+辅导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0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新材料的开发与应用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在线学习+辅导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0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木材的成型工艺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851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0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木材的连接工艺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851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.5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0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木材的表面处理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851" w:type="dxa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847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</w:t>
            </w:r>
          </w:p>
        </w:tc>
      </w:tr>
    </w:tbl>
    <w:p>
      <w:pPr>
        <w:spacing w:line="440" w:lineRule="exact"/>
        <w:rPr>
          <w:rFonts w:eastAsia="黑体"/>
          <w:sz w:val="30"/>
        </w:rPr>
      </w:pPr>
      <w:r>
        <w:rPr>
          <w:rFonts w:hint="eastAsia" w:eastAsia="黑体"/>
          <w:sz w:val="30"/>
        </w:rPr>
        <w:t>三、教学基本要求</w:t>
      </w:r>
    </w:p>
    <w:p>
      <w:pPr>
        <w:pStyle w:val="7"/>
        <w:spacing w:line="440" w:lineRule="exact"/>
        <w:ind w:firstLine="560" w:firstLineChars="200"/>
        <w:rPr>
          <w:rFonts w:eastAsia="黑体"/>
          <w:sz w:val="28"/>
        </w:rPr>
      </w:pPr>
      <w:r>
        <w:rPr>
          <w:rFonts w:eastAsia="黑体"/>
          <w:sz w:val="28"/>
        </w:rPr>
        <w:t>1.</w:t>
      </w:r>
      <w:r>
        <w:rPr>
          <w:rFonts w:hint="eastAsia" w:eastAsia="黑体"/>
          <w:sz w:val="28"/>
        </w:rPr>
        <w:t>对课程教学的基本要求</w:t>
      </w:r>
    </w:p>
    <w:p>
      <w:pPr>
        <w:adjustRightInd w:val="0"/>
        <w:snapToGrid w:val="0"/>
        <w:spacing w:line="360" w:lineRule="auto"/>
        <w:ind w:left="210" w:leftChars="100" w:firstLine="480" w:firstLineChars="200"/>
        <w:rPr>
          <w:sz w:val="24"/>
        </w:rPr>
      </w:pPr>
      <w:r>
        <w:rPr>
          <w:rFonts w:hint="eastAsia"/>
          <w:sz w:val="24"/>
        </w:rPr>
        <w:t>课堂讲授与实践相结合的教学</w:t>
      </w:r>
      <w:r>
        <w:rPr>
          <w:sz w:val="24"/>
        </w:rPr>
        <w:t>法</w:t>
      </w:r>
      <w:r>
        <w:rPr>
          <w:rFonts w:hint="eastAsia"/>
          <w:sz w:val="24"/>
        </w:rPr>
        <w:t>辅导学生针对一种材料进行设计到成型的练习，让学生在实践中总结材料与各种工艺方法的相关作用与异同，并在此基础上引导学生在项目实践中探索各种工艺方法的运用可能，从而实现本课程目标。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具体内容如下表所示。</w:t>
      </w:r>
    </w:p>
    <w:tbl>
      <w:tblPr>
        <w:tblStyle w:val="10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7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br w:type="page"/>
            </w:r>
            <w:r>
              <w:rPr>
                <w:rFonts w:asciiTheme="minorEastAsia" w:hAnsiTheme="minorEastAsia"/>
                <w:szCs w:val="21"/>
              </w:rPr>
              <w:t>教学环节</w:t>
            </w:r>
          </w:p>
        </w:tc>
        <w:tc>
          <w:tcPr>
            <w:tcW w:w="798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 堂 讲 授</w:t>
            </w:r>
          </w:p>
        </w:tc>
        <w:tc>
          <w:tcPr>
            <w:tcW w:w="7981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第一章 </w:t>
            </w:r>
            <w:r>
              <w:rPr>
                <w:rFonts w:hint="eastAsia" w:asciiTheme="minorEastAsia" w:hAnsiTheme="minorEastAsia"/>
                <w:szCs w:val="21"/>
              </w:rPr>
              <w:t>概论</w:t>
            </w:r>
            <w:r>
              <w:rPr>
                <w:rFonts w:asciiTheme="minorEastAsia" w:hAnsiTheme="minorEastAsia"/>
                <w:szCs w:val="21"/>
              </w:rPr>
              <w:t xml:space="preserve">；第二章 </w:t>
            </w:r>
            <w:r>
              <w:rPr>
                <w:rFonts w:hint="eastAsia" w:asciiTheme="minorEastAsia" w:hAnsiTheme="minorEastAsia"/>
                <w:szCs w:val="21"/>
              </w:rPr>
              <w:t>材料认知与实践</w:t>
            </w:r>
            <w:r>
              <w:rPr>
                <w:rFonts w:asciiTheme="minorEastAsia" w:hAnsiTheme="minorEastAsia"/>
                <w:szCs w:val="21"/>
              </w:rPr>
              <w:t xml:space="preserve">；第三章 </w:t>
            </w:r>
            <w:r>
              <w:rPr>
                <w:rFonts w:hint="eastAsia"/>
                <w:szCs w:val="21"/>
              </w:rPr>
              <w:t>材料加工工艺</w:t>
            </w:r>
            <w:r>
              <w:rPr>
                <w:rFonts w:asciiTheme="minorEastAsia" w:hAnsiTheme="minorEastAsia"/>
                <w:szCs w:val="21"/>
              </w:rPr>
              <w:t>；第四章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新材料的开发与应用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平 时 作 业</w:t>
            </w:r>
          </w:p>
        </w:tc>
        <w:tc>
          <w:tcPr>
            <w:tcW w:w="7981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针对讲述的五种材料，每人收集不同类材料碎片10种以上。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根据收集的五种材料碎片，挑选制作材料样本三种，包括块材、面材、线材各一种形式，尺寸包含及控制在5cm*5cm*2cm以内。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实     </w:t>
            </w:r>
            <w:r>
              <w:rPr>
                <w:rFonts w:hint="eastAsia" w:asciiTheme="minorEastAsia" w:hAnsiTheme="minorEastAsia"/>
                <w:szCs w:val="21"/>
              </w:rPr>
              <w:t>践</w:t>
            </w:r>
          </w:p>
        </w:tc>
        <w:tc>
          <w:tcPr>
            <w:tcW w:w="7981" w:type="dxa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木质材料的成型工艺，分别制作材料样本三种，包括块材、面材、线材各一种，并把尺寸控制在9cm*9cm*2cm（局部可以大于2cm）。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根据木质材料的连接工艺，分别制作材料样本三种，包括块材、面材、线材各一种，并把尺寸控制在9cm*9cm*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cm。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根据木质材料的表面处理工艺，分别制作材料样本三种，包括块材、面材、线材各一种，并把尺寸控制在9cm*9cm*2cm。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课程网上互动</w:t>
            </w:r>
          </w:p>
        </w:tc>
        <w:tc>
          <w:tcPr>
            <w:tcW w:w="7981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记录实践过程，对制作难点进行分析并上传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课堂讨论</w:t>
            </w:r>
          </w:p>
        </w:tc>
        <w:tc>
          <w:tcPr>
            <w:tcW w:w="7981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对实践成果的展示与点评总结</w:t>
            </w:r>
          </w:p>
        </w:tc>
      </w:tr>
    </w:tbl>
    <w:p>
      <w:pPr>
        <w:pStyle w:val="7"/>
        <w:spacing w:line="440" w:lineRule="exact"/>
        <w:ind w:firstLine="480"/>
      </w:pPr>
    </w:p>
    <w:p>
      <w:pPr>
        <w:spacing w:line="440" w:lineRule="exact"/>
        <w:ind w:firstLine="560" w:firstLineChars="200"/>
        <w:rPr>
          <w:rFonts w:ascii="黑体" w:hAnsi="宋体" w:eastAsia="黑体"/>
          <w:sz w:val="28"/>
        </w:rPr>
      </w:pPr>
      <w:r>
        <w:rPr>
          <w:rFonts w:ascii="黑体" w:hAnsi="宋体" w:eastAsia="黑体"/>
          <w:sz w:val="28"/>
        </w:rPr>
        <w:t>2.</w:t>
      </w:r>
      <w:r>
        <w:rPr>
          <w:rFonts w:hint="eastAsia" w:ascii="黑体" w:hAnsi="宋体" w:eastAsia="黑体"/>
          <w:sz w:val="28"/>
        </w:rPr>
        <w:t>课程的考核要求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课程教学大纲要明确本课程的主要内容，课程的重点、难点，并详细编写内容及要求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按了解、理解、掌握三个层次写明各主要内容和应达到的要求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，作为教师教学、学生学习及课程考核的基本依据。</w:t>
      </w:r>
      <w:r>
        <w:rPr>
          <w:rFonts w:ascii="宋体" w:hAnsi="宋体"/>
          <w:sz w:val="24"/>
        </w:rPr>
        <w:t xml:space="preserve">   </w:t>
      </w:r>
    </w:p>
    <w:p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“了解”是指学生应能辨认的科学事实、概念、原则、术语，知道事物的分类、过程及变化倾向，包括必要的记忆。</w:t>
      </w:r>
    </w:p>
    <w:p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“理解”是指学生能用自己的语言把学过的知识加以叙述、解释、归纳，并把某一事实或概念分解为若干部分，指出他们之间的内在联系或与其它事物的相互关系。</w:t>
      </w:r>
    </w:p>
    <w:p>
      <w:pPr>
        <w:pStyle w:val="7"/>
        <w:spacing w:line="440" w:lineRule="exact"/>
        <w:ind w:firstLine="360" w:firstLineChars="150"/>
        <w:rPr>
          <w:rFonts w:ascii="宋体" w:hAnsi="宋体"/>
        </w:rPr>
      </w:pPr>
      <w:r>
        <w:rPr>
          <w:rFonts w:hint="eastAsia" w:ascii="宋体" w:hAnsi="宋体"/>
        </w:rPr>
        <w:t>“掌握”是指学生能根据不同情况对某些概念、定律、原理、方法等在正确理解的基础上结合事例加以运用，包括分析和综合。</w:t>
      </w:r>
    </w:p>
    <w:p>
      <w:pPr>
        <w:pStyle w:val="7"/>
        <w:spacing w:line="440" w:lineRule="exact"/>
        <w:ind w:firstLine="360" w:firstLineChars="150"/>
        <w:rPr>
          <w:rFonts w:ascii="宋体"/>
        </w:rPr>
      </w:pPr>
    </w:p>
    <w:p>
      <w:pPr>
        <w:spacing w:line="440" w:lineRule="exact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四、课程推荐使用的教材及教学参考资料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教  材：</w:t>
      </w:r>
    </w:p>
    <w:p>
      <w:pPr>
        <w:pStyle w:val="17"/>
        <w:autoSpaceDE w:val="0"/>
        <w:autoSpaceDN w:val="0"/>
        <w:adjustRightInd w:val="0"/>
        <w:spacing w:line="276" w:lineRule="auto"/>
        <w:ind w:firstLine="0" w:firstLineChars="0"/>
        <w:jc w:val="left"/>
        <w:rPr>
          <w:rFonts w:ascii="黑体" w:hAnsi="黑体" w:eastAsia="黑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《产品材料与工艺》，姚静媛著/2015-04-01/国防工业出版社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参考书：</w:t>
      </w:r>
    </w:p>
    <w:p>
      <w:pPr>
        <w:adjustRightInd w:val="0"/>
        <w:snapToGrid w:val="0"/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sz w:val="24"/>
        </w:rPr>
        <w:t>【1】</w:t>
      </w:r>
      <w:r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《产品设计材料与工艺》，贺松林著 /2014-05-01/电子工业出版</w:t>
      </w:r>
      <w:bookmarkStart w:id="0" w:name="_Toc527738296"/>
      <w:bookmarkStart w:id="1" w:name="_Toc527737703"/>
      <w:bookmarkStart w:id="2" w:name="_Toc527739244"/>
    </w:p>
    <w:p>
      <w:pPr>
        <w:adjustRightInd w:val="0"/>
        <w:snapToGrid w:val="0"/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sz w:val="24"/>
        </w:rPr>
        <w:t>【</w:t>
      </w:r>
      <w:r>
        <w:rPr>
          <w:rFonts w:hint="eastAsia"/>
          <w:sz w:val="24"/>
        </w:rPr>
        <w:t>2</w:t>
      </w:r>
      <w:r>
        <w:rPr>
          <w:sz w:val="24"/>
        </w:rPr>
        <w:t>】</w:t>
      </w:r>
      <w:r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《产品造型设计材料与工艺》，赵占西 黄明宇 著/2016-07-01/机械工业出版社</w:t>
      </w:r>
      <w:bookmarkEnd w:id="0"/>
      <w:bookmarkEnd w:id="1"/>
      <w:bookmarkEnd w:id="2"/>
      <w:bookmarkStart w:id="3" w:name="_Toc527738297"/>
      <w:bookmarkStart w:id="4" w:name="_Toc527737704"/>
      <w:bookmarkStart w:id="5" w:name="_Toc527739245"/>
    </w:p>
    <w:p>
      <w:pPr>
        <w:adjustRightInd w:val="0"/>
        <w:snapToGrid w:val="0"/>
        <w:spacing w:line="360" w:lineRule="auto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sz w:val="24"/>
        </w:rPr>
        <w:t>【</w:t>
      </w:r>
      <w:r>
        <w:rPr>
          <w:rFonts w:hint="eastAsia"/>
          <w:sz w:val="24"/>
        </w:rPr>
        <w:t>3</w:t>
      </w:r>
      <w:r>
        <w:rPr>
          <w:sz w:val="24"/>
        </w:rPr>
        <w:t>】</w:t>
      </w:r>
      <w:r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《工业设计——材料与加工工艺》，张宇红著/2012-10-01/中国电力出版社</w:t>
      </w:r>
      <w:bookmarkEnd w:id="3"/>
      <w:bookmarkEnd w:id="4"/>
      <w:bookmarkEnd w:id="5"/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参考学习网站：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相关方向设计论坛以及专业材料资讯网站（例木工网）</w:t>
      </w:r>
    </w:p>
    <w:p>
      <w:pPr>
        <w:spacing w:line="440" w:lineRule="exact"/>
        <w:ind w:firstLine="480" w:firstLineChars="200"/>
        <w:rPr>
          <w:rFonts w:ascii="宋体" w:hAnsi="宋体"/>
          <w:color w:val="FF0000"/>
          <w:sz w:val="24"/>
        </w:rPr>
      </w:pPr>
    </w:p>
    <w:p>
      <w:pPr>
        <w:spacing w:line="440" w:lineRule="exact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五、实施说明：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说明本课程在《形态构建》、《设计表达》、《创意思维》课程结束后开设。安排在第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学期（春季）开设。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开设本课程的特殊要求。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课程安排到第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学期（春季），可以与学习本课程的设计类专业学生交流。</w:t>
      </w:r>
    </w:p>
    <w:p>
      <w:pPr>
        <w:pStyle w:val="7"/>
        <w:spacing w:line="440" w:lineRule="exact"/>
        <w:ind w:firstLine="480" w:firstLineChars="200"/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hint="eastAsia" w:ascii="宋体" w:hAnsi="宋体"/>
        </w:rPr>
        <w:t>考核方式：考核方式与教学内容协调。</w:t>
      </w:r>
    </w:p>
    <w:tbl>
      <w:tblPr>
        <w:tblStyle w:val="10"/>
        <w:tblW w:w="847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381"/>
        <w:gridCol w:w="4938"/>
        <w:gridCol w:w="705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课程任务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评价标准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权重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作业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所有作业的平均分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15%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课堂互动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参与投票、问卷、抢答、选人、讨论、测验、小组任务等课程活动可以获相应分数，积分达200</w:t>
            </w:r>
            <w:r>
              <w:rPr>
                <w:rFonts w:hint="eastAsia" w:ascii="宋体" w:hAnsi="宋体"/>
                <w:szCs w:val="21"/>
              </w:rPr>
              <w:t>分为满分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15%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签到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按次数累计，每签到一次+1</w:t>
            </w:r>
            <w:r>
              <w:rPr>
                <w:rFonts w:hint="eastAsia" w:ascii="宋体" w:hAnsi="宋体"/>
                <w:szCs w:val="21"/>
              </w:rPr>
              <w:t>，签到数达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次为满分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10%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课程音视频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课程视频/</w:t>
            </w:r>
            <w:r>
              <w:rPr>
                <w:rFonts w:hint="eastAsia" w:ascii="宋体" w:hAnsi="宋体"/>
                <w:szCs w:val="21"/>
              </w:rPr>
              <w:t>音频全部完成得满分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单个视频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音频分值平均分配，满分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10%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章节测验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只计算为任务点的章节测验,</w:t>
            </w:r>
            <w:r>
              <w:rPr>
                <w:rFonts w:hint="eastAsia" w:ascii="宋体" w:hAnsi="宋体"/>
                <w:szCs w:val="21"/>
              </w:rPr>
              <w:t>取学生章节测验平均分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未做测验按“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</w:rPr>
              <w:t>”分计算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10%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访问数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访问数达50</w:t>
            </w:r>
            <w:r>
              <w:rPr>
                <w:rFonts w:hint="eastAsia" w:ascii="宋体" w:hAnsi="宋体"/>
                <w:szCs w:val="21"/>
              </w:rPr>
              <w:t>次为满分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10%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讨论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发表或回复一个讨论得5</w:t>
            </w:r>
            <w:r>
              <w:rPr>
                <w:rFonts w:hint="eastAsia" w:ascii="宋体" w:hAnsi="宋体"/>
                <w:szCs w:val="21"/>
              </w:rPr>
              <w:t>分，获得一个赞得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分，最高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10%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  <w:tc>
          <w:tcPr>
            <w:tcW w:w="4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所有考试的平均分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20%</w:t>
            </w: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/>
                <w:szCs w:val="21"/>
              </w:rPr>
            </w:pPr>
          </w:p>
        </w:tc>
      </w:tr>
    </w:tbl>
    <w:p>
      <w:pPr>
        <w:adjustRightInd w:val="0"/>
        <w:snapToGrid w:val="0"/>
        <w:spacing w:line="300" w:lineRule="auto"/>
        <w:ind w:firstLine="360" w:firstLineChars="200"/>
        <w:outlineLvl w:val="0"/>
        <w:rPr>
          <w:sz w:val="18"/>
          <w:szCs w:val="18"/>
        </w:rPr>
      </w:pPr>
      <w:r>
        <w:rPr>
          <w:sz w:val="18"/>
          <w:szCs w:val="18"/>
        </w:rPr>
        <w:t>说明：以上各项成绩要有相应的证明材料，如课堂分组讨论要提供明确的讨论主题、时间、主要讨论记录（有学生发言及讨论记录，作为给分依据），实验成绩要提供实验报告及相关数据表格等。</w:t>
      </w:r>
    </w:p>
    <w:p>
      <w:pPr>
        <w:pStyle w:val="7"/>
        <w:spacing w:line="440" w:lineRule="exact"/>
        <w:ind w:firstLine="480" w:firstLineChars="200"/>
        <w:rPr>
          <w:rFonts w:ascii="宋体" w:hAnsi="宋体"/>
        </w:rPr>
      </w:pPr>
    </w:p>
    <w:p>
      <w:pPr>
        <w:pStyle w:val="7"/>
        <w:spacing w:line="440" w:lineRule="exact"/>
        <w:ind w:firstLine="480" w:firstLineChars="200"/>
        <w:rPr>
          <w:rFonts w:ascii="宋体" w:hAnsi="宋体"/>
        </w:rPr>
      </w:pPr>
    </w:p>
    <w:p>
      <w:pPr>
        <w:spacing w:line="440" w:lineRule="exact"/>
        <w:ind w:firstLine="480" w:firstLineChars="200"/>
        <w:rPr>
          <w:rFonts w:ascii="宋体"/>
          <w:sz w:val="24"/>
        </w:rPr>
      </w:pPr>
    </w:p>
    <w:p>
      <w:pPr>
        <w:spacing w:line="440" w:lineRule="exact"/>
        <w:ind w:firstLine="480" w:firstLineChars="200"/>
        <w:rPr>
          <w:sz w:val="28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3"/>
        <w:spacing w:line="440" w:lineRule="exact"/>
        <w:rPr>
          <w:rFonts w:hAnsi="黑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4ACD2A"/>
    <w:multiLevelType w:val="singleLevel"/>
    <w:tmpl w:val="8E4ACD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98C6A2F"/>
    <w:multiLevelType w:val="singleLevel"/>
    <w:tmpl w:val="C98C6A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7E"/>
    <w:rsid w:val="00001BA2"/>
    <w:rsid w:val="0001450F"/>
    <w:rsid w:val="000327C0"/>
    <w:rsid w:val="000462A0"/>
    <w:rsid w:val="00057BFE"/>
    <w:rsid w:val="000B6F99"/>
    <w:rsid w:val="000F6336"/>
    <w:rsid w:val="00127140"/>
    <w:rsid w:val="00145710"/>
    <w:rsid w:val="00154A75"/>
    <w:rsid w:val="00163181"/>
    <w:rsid w:val="00176414"/>
    <w:rsid w:val="0018560C"/>
    <w:rsid w:val="001A0F3F"/>
    <w:rsid w:val="001B0479"/>
    <w:rsid w:val="001F2BEA"/>
    <w:rsid w:val="00206172"/>
    <w:rsid w:val="0020662D"/>
    <w:rsid w:val="0022727E"/>
    <w:rsid w:val="00241112"/>
    <w:rsid w:val="00273BC0"/>
    <w:rsid w:val="0027535C"/>
    <w:rsid w:val="00281D08"/>
    <w:rsid w:val="002B37E6"/>
    <w:rsid w:val="002D516D"/>
    <w:rsid w:val="00302A24"/>
    <w:rsid w:val="00327170"/>
    <w:rsid w:val="00342CA2"/>
    <w:rsid w:val="0039186E"/>
    <w:rsid w:val="00393DB1"/>
    <w:rsid w:val="003E652D"/>
    <w:rsid w:val="003F3AE4"/>
    <w:rsid w:val="00404D02"/>
    <w:rsid w:val="00411CA3"/>
    <w:rsid w:val="00421CEA"/>
    <w:rsid w:val="00437BFD"/>
    <w:rsid w:val="004426D8"/>
    <w:rsid w:val="00451752"/>
    <w:rsid w:val="004B2FBD"/>
    <w:rsid w:val="004D7CD8"/>
    <w:rsid w:val="004D7ED1"/>
    <w:rsid w:val="004E3DE6"/>
    <w:rsid w:val="005011C1"/>
    <w:rsid w:val="005267E2"/>
    <w:rsid w:val="00535B6E"/>
    <w:rsid w:val="00544BAF"/>
    <w:rsid w:val="00550B79"/>
    <w:rsid w:val="005515F0"/>
    <w:rsid w:val="00575A0A"/>
    <w:rsid w:val="00575F8A"/>
    <w:rsid w:val="00584BB4"/>
    <w:rsid w:val="005B3016"/>
    <w:rsid w:val="005F717E"/>
    <w:rsid w:val="006338A8"/>
    <w:rsid w:val="006437BF"/>
    <w:rsid w:val="006514D2"/>
    <w:rsid w:val="006536D5"/>
    <w:rsid w:val="00657EBB"/>
    <w:rsid w:val="00662AC2"/>
    <w:rsid w:val="006D57DA"/>
    <w:rsid w:val="007004E5"/>
    <w:rsid w:val="00701B0F"/>
    <w:rsid w:val="00704573"/>
    <w:rsid w:val="007205C3"/>
    <w:rsid w:val="00755B43"/>
    <w:rsid w:val="00762CC9"/>
    <w:rsid w:val="007A6973"/>
    <w:rsid w:val="007C28D0"/>
    <w:rsid w:val="007C5EC1"/>
    <w:rsid w:val="00845E20"/>
    <w:rsid w:val="008611A9"/>
    <w:rsid w:val="0086214D"/>
    <w:rsid w:val="00872694"/>
    <w:rsid w:val="00876ABF"/>
    <w:rsid w:val="008969B4"/>
    <w:rsid w:val="008A0E12"/>
    <w:rsid w:val="008B09AE"/>
    <w:rsid w:val="008C196D"/>
    <w:rsid w:val="008F2C74"/>
    <w:rsid w:val="008F5510"/>
    <w:rsid w:val="00906128"/>
    <w:rsid w:val="0090747A"/>
    <w:rsid w:val="009108D3"/>
    <w:rsid w:val="00925293"/>
    <w:rsid w:val="00925DCE"/>
    <w:rsid w:val="009427E0"/>
    <w:rsid w:val="009453DC"/>
    <w:rsid w:val="00983348"/>
    <w:rsid w:val="00993E38"/>
    <w:rsid w:val="009B2438"/>
    <w:rsid w:val="009C2681"/>
    <w:rsid w:val="00A21966"/>
    <w:rsid w:val="00A22657"/>
    <w:rsid w:val="00A67475"/>
    <w:rsid w:val="00A67F6B"/>
    <w:rsid w:val="00A73C69"/>
    <w:rsid w:val="00A806FD"/>
    <w:rsid w:val="00A95C30"/>
    <w:rsid w:val="00AB2E4E"/>
    <w:rsid w:val="00AC4807"/>
    <w:rsid w:val="00AD1B42"/>
    <w:rsid w:val="00AE5611"/>
    <w:rsid w:val="00B12A5E"/>
    <w:rsid w:val="00B36771"/>
    <w:rsid w:val="00B471ED"/>
    <w:rsid w:val="00B50210"/>
    <w:rsid w:val="00B7779B"/>
    <w:rsid w:val="00B82348"/>
    <w:rsid w:val="00B910D9"/>
    <w:rsid w:val="00BB494C"/>
    <w:rsid w:val="00BB698F"/>
    <w:rsid w:val="00BC1AF0"/>
    <w:rsid w:val="00BD55DB"/>
    <w:rsid w:val="00BF0D72"/>
    <w:rsid w:val="00C4443A"/>
    <w:rsid w:val="00C457D5"/>
    <w:rsid w:val="00C71A85"/>
    <w:rsid w:val="00C815B0"/>
    <w:rsid w:val="00C872B2"/>
    <w:rsid w:val="00CC20D4"/>
    <w:rsid w:val="00CD400C"/>
    <w:rsid w:val="00CF06FF"/>
    <w:rsid w:val="00D32D69"/>
    <w:rsid w:val="00D34678"/>
    <w:rsid w:val="00D37346"/>
    <w:rsid w:val="00D603D4"/>
    <w:rsid w:val="00E420BF"/>
    <w:rsid w:val="00E44CF9"/>
    <w:rsid w:val="00E64673"/>
    <w:rsid w:val="00EC2FB2"/>
    <w:rsid w:val="00EE376A"/>
    <w:rsid w:val="00EE4056"/>
    <w:rsid w:val="00F1480F"/>
    <w:rsid w:val="00F30811"/>
    <w:rsid w:val="00F33979"/>
    <w:rsid w:val="00F352C2"/>
    <w:rsid w:val="00F37222"/>
    <w:rsid w:val="00F47C2A"/>
    <w:rsid w:val="00F80370"/>
    <w:rsid w:val="00F86A51"/>
    <w:rsid w:val="00F97B73"/>
    <w:rsid w:val="00FA6692"/>
    <w:rsid w:val="00FA77EC"/>
    <w:rsid w:val="00FD124F"/>
    <w:rsid w:val="00FD4566"/>
    <w:rsid w:val="06CB2F6C"/>
    <w:rsid w:val="09125B9B"/>
    <w:rsid w:val="096E748B"/>
    <w:rsid w:val="2C883504"/>
    <w:rsid w:val="3D1411B6"/>
    <w:rsid w:val="61780EB9"/>
    <w:rsid w:val="634452A0"/>
    <w:rsid w:val="71A07C1F"/>
    <w:rsid w:val="79471ABA"/>
    <w:rsid w:val="7BDD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locked/>
    <w:uiPriority w:val="0"/>
    <w:pPr>
      <w:keepNext/>
      <w:keepLines/>
      <w:spacing w:line="576" w:lineRule="auto"/>
      <w:outlineLvl w:val="0"/>
    </w:pPr>
    <w:rPr>
      <w:rFonts w:asciiTheme="minorHAnsi" w:hAnsiTheme="minorHAnsi" w:eastAsiaTheme="minorEastAsia" w:cstheme="minorBidi"/>
      <w:b/>
      <w:kern w:val="44"/>
      <w:sz w:val="84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semiHidden/>
    <w:qFormat/>
    <w:uiPriority w:val="99"/>
    <w:rPr>
      <w:rFonts w:ascii="黑体" w:eastAsia="黑体"/>
      <w:sz w:val="28"/>
    </w:rPr>
  </w:style>
  <w:style w:type="paragraph" w:styleId="4">
    <w:name w:val="Balloon Text"/>
    <w:basedOn w:val="1"/>
    <w:link w:val="16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link w:val="13"/>
    <w:semiHidden/>
    <w:qFormat/>
    <w:uiPriority w:val="99"/>
    <w:rPr>
      <w:sz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正文文本 字符"/>
    <w:basedOn w:val="8"/>
    <w:link w:val="3"/>
    <w:semiHidden/>
    <w:qFormat/>
    <w:uiPriority w:val="99"/>
    <w:rPr>
      <w:szCs w:val="24"/>
    </w:rPr>
  </w:style>
  <w:style w:type="character" w:customStyle="1" w:styleId="13">
    <w:name w:val="正文文本 2 字符"/>
    <w:basedOn w:val="8"/>
    <w:link w:val="7"/>
    <w:semiHidden/>
    <w:qFormat/>
    <w:uiPriority w:val="99"/>
    <w:rPr>
      <w:szCs w:val="24"/>
    </w:rPr>
  </w:style>
  <w:style w:type="character" w:customStyle="1" w:styleId="14">
    <w:name w:val="页眉 字符"/>
    <w:basedOn w:val="8"/>
    <w:link w:val="6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页脚 字符"/>
    <w:basedOn w:val="8"/>
    <w:link w:val="5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批注框文本 字符"/>
    <w:basedOn w:val="8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7">
    <w:name w:val="列出段落2"/>
    <w:basedOn w:val="1"/>
    <w:qFormat/>
    <w:uiPriority w:val="99"/>
    <w:pPr>
      <w:ind w:firstLine="420" w:firstLineChars="200"/>
    </w:pPr>
    <w:rPr>
      <w:rFonts w:ascii="Calibri" w:hAnsi="Calibri" w:eastAsiaTheme="minorEastAsia" w:cstheme="minorBidi"/>
      <w:szCs w:val="22"/>
    </w:rPr>
  </w:style>
  <w:style w:type="character" w:customStyle="1" w:styleId="18">
    <w:name w:val="标题 1 字符"/>
    <w:basedOn w:val="8"/>
    <w:link w:val="2"/>
    <w:qFormat/>
    <w:uiPriority w:val="0"/>
    <w:rPr>
      <w:rFonts w:asciiTheme="minorHAnsi" w:hAnsiTheme="minorHAnsi" w:eastAsiaTheme="minorEastAsia" w:cstheme="minorBidi"/>
      <w:b/>
      <w:kern w:val="44"/>
      <w:sz w:val="8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教务处</Company>
  <Pages>1</Pages>
  <Words>572</Words>
  <Characters>3264</Characters>
  <Lines>27</Lines>
  <Paragraphs>7</Paragraphs>
  <TotalTime>1</TotalTime>
  <ScaleCrop>false</ScaleCrop>
  <LinksUpToDate>false</LinksUpToDate>
  <CharactersWithSpaces>3829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教学文件</cp:category>
  <dcterms:created xsi:type="dcterms:W3CDTF">2020-03-22T04:53:00Z</dcterms:created>
  <dc:creator>教务处</dc:creator>
  <cp:lastModifiedBy>木木鱼1425898387</cp:lastModifiedBy>
  <cp:lastPrinted>2018-05-21T02:25:00Z</cp:lastPrinted>
  <dcterms:modified xsi:type="dcterms:W3CDTF">2021-04-01T13:54:48Z</dcterms:modified>
  <dc:title>河北地质大学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